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AE26DD">
      <w:pPr>
        <w:ind w:left="5669"/>
        <w:jc w:val="left"/>
        <w:rPr>
          <w:b/>
          <w:i/>
          <w:sz w:val="20"/>
          <w:u w:val="thick"/>
        </w:rPr>
      </w:pPr>
      <w:r>
        <w:rPr>
          <w:b/>
          <w:i/>
          <w:sz w:val="20"/>
          <w:u w:val="thick"/>
        </w:rPr>
        <w:t>Projekt</w:t>
      </w:r>
    </w:p>
    <w:p w:rsidR="00A77B3E" w:rsidRDefault="00A77B3E">
      <w:pPr>
        <w:ind w:left="5669"/>
        <w:jc w:val="left"/>
        <w:rPr>
          <w:b/>
          <w:i/>
          <w:sz w:val="20"/>
          <w:u w:val="thick"/>
        </w:rPr>
      </w:pPr>
    </w:p>
    <w:p w:rsidR="00A77B3E" w:rsidRDefault="00AE26DD">
      <w:pPr>
        <w:ind w:left="5669"/>
        <w:jc w:val="left"/>
        <w:rPr>
          <w:sz w:val="20"/>
        </w:rPr>
      </w:pPr>
      <w:r>
        <w:rPr>
          <w:sz w:val="20"/>
        </w:rPr>
        <w:t>z dnia  19 stycznia 2026 r.</w:t>
      </w:r>
    </w:p>
    <w:p w:rsidR="00A77B3E" w:rsidRDefault="00AE26DD">
      <w:pPr>
        <w:ind w:left="5669"/>
        <w:jc w:val="left"/>
        <w:rPr>
          <w:sz w:val="20"/>
        </w:rPr>
      </w:pPr>
      <w:r>
        <w:rPr>
          <w:sz w:val="20"/>
        </w:rPr>
        <w:t>Zatwierdzony przez .........................</w:t>
      </w:r>
    </w:p>
    <w:p w:rsidR="00A77B3E" w:rsidRDefault="00A77B3E">
      <w:pPr>
        <w:ind w:left="5669"/>
        <w:jc w:val="left"/>
        <w:rPr>
          <w:sz w:val="20"/>
        </w:rPr>
      </w:pPr>
    </w:p>
    <w:p w:rsidR="00A77B3E" w:rsidRDefault="00A77B3E">
      <w:pPr>
        <w:ind w:left="5669"/>
        <w:jc w:val="left"/>
        <w:rPr>
          <w:sz w:val="20"/>
        </w:rPr>
      </w:pPr>
    </w:p>
    <w:p w:rsidR="00A77B3E" w:rsidRDefault="00AE26DD">
      <w:pPr>
        <w:jc w:val="center"/>
        <w:rPr>
          <w:b/>
          <w:caps/>
        </w:rPr>
      </w:pPr>
      <w:r>
        <w:rPr>
          <w:b/>
          <w:caps/>
        </w:rPr>
        <w:t>Uchwała Nr ....................</w:t>
      </w:r>
      <w:r>
        <w:rPr>
          <w:b/>
          <w:caps/>
        </w:rPr>
        <w:br/>
        <w:t>Rady Gminy Sokoły</w:t>
      </w:r>
    </w:p>
    <w:p w:rsidR="00A77B3E" w:rsidRDefault="00AE26DD">
      <w:pPr>
        <w:spacing w:before="280" w:after="280"/>
        <w:jc w:val="center"/>
        <w:rPr>
          <w:b/>
          <w:caps/>
        </w:rPr>
      </w:pPr>
      <w:r>
        <w:t>z dnia .................... 2026 r.</w:t>
      </w:r>
    </w:p>
    <w:p w:rsidR="00A77B3E" w:rsidRDefault="00AE26DD">
      <w:pPr>
        <w:keepNext/>
        <w:spacing w:after="480"/>
        <w:jc w:val="center"/>
      </w:pPr>
      <w:r>
        <w:rPr>
          <w:b/>
        </w:rPr>
        <w:t>w sprawie rozpatrzenia skargi dotyczącej działalności Wójta Gminy Sokoły i Dyrektora Szkoły Podstawowej w Sokołach</w:t>
      </w:r>
    </w:p>
    <w:p w:rsidR="00A77B3E" w:rsidRDefault="00AE26DD">
      <w:pPr>
        <w:keepLines/>
        <w:spacing w:before="120" w:after="120"/>
        <w:ind w:firstLine="227"/>
      </w:pPr>
      <w:r>
        <w:t>Na podstawie art. 18 b ust. 1ustawy z dnia 8 marca 1990 r. o samorządzie gminnym (Dz. U. z 2025 r. poz. 1153 i 1436) oraz art. 229 pkt 3 ustawy z dnia 14 czerwca 1960 r. Kodeks postepowania administracyjnego (</w:t>
      </w:r>
      <w:proofErr w:type="spellStart"/>
      <w:r>
        <w:t>t.j</w:t>
      </w:r>
      <w:proofErr w:type="spellEnd"/>
      <w:r>
        <w:t>. Dz. U. z 2025 r. poz. </w:t>
      </w:r>
      <w:r w:rsidR="00D71FA9">
        <w:t>1691</w:t>
      </w:r>
      <w:r>
        <w:t>) uchwala się, co następuje:</w:t>
      </w:r>
    </w:p>
    <w:p w:rsidR="00A77B3E" w:rsidRDefault="00AE26DD">
      <w:pPr>
        <w:keepLines/>
        <w:spacing w:before="120" w:after="120"/>
        <w:ind w:firstLine="340"/>
        <w:rPr>
          <w:color w:val="000000"/>
          <w:u w:color="000000"/>
        </w:rPr>
      </w:pPr>
      <w:r>
        <w:rPr>
          <w:b/>
        </w:rPr>
        <w:t>§ 1. </w:t>
      </w:r>
      <w:r>
        <w:t>1. Uznaje się za bezzasadną</w:t>
      </w:r>
      <w:r w:rsidR="00F9116E">
        <w:t xml:space="preserve"> / zasadną</w:t>
      </w:r>
      <w:r>
        <w:t xml:space="preserve"> skargę z dnia 5 listopada 2025 r. dotyczącą działalności Wójta Gminy Sokoły i Dyrektora Szkoły Podstawowej w Sokołach.</w:t>
      </w:r>
    </w:p>
    <w:p w:rsidR="00A77B3E" w:rsidRDefault="00AE26DD">
      <w:pPr>
        <w:keepLines/>
        <w:spacing w:before="120" w:after="120"/>
        <w:ind w:firstLine="340"/>
        <w:rPr>
          <w:color w:val="000000"/>
          <w:u w:color="000000"/>
        </w:rPr>
      </w:pPr>
      <w:r>
        <w:t>2. </w:t>
      </w:r>
      <w:r>
        <w:rPr>
          <w:color w:val="000000"/>
          <w:u w:color="000000"/>
        </w:rPr>
        <w:t>Wyjaśnienie powyższego stanowiska zawarte jest w uzasadnieniu do uchwały.</w:t>
      </w:r>
    </w:p>
    <w:p w:rsidR="00A77B3E" w:rsidRDefault="00AE26DD">
      <w:pPr>
        <w:keepLines/>
        <w:spacing w:before="120" w:after="120"/>
        <w:ind w:firstLine="340"/>
        <w:rPr>
          <w:color w:val="000000"/>
          <w:u w:color="000000"/>
        </w:rPr>
      </w:pPr>
      <w:r>
        <w:rPr>
          <w:b/>
        </w:rPr>
        <w:t>§ 2. </w:t>
      </w:r>
      <w:r>
        <w:rPr>
          <w:color w:val="000000"/>
          <w:u w:color="000000"/>
        </w:rPr>
        <w:t>Zobowiązuje się Przewodniczącego Rady Gminy Sokoły do poinformowania skarżącego o sposobie załatwienia skargi.</w:t>
      </w:r>
    </w:p>
    <w:p w:rsidR="00A77B3E" w:rsidRDefault="00AE26DD">
      <w:pPr>
        <w:keepNext/>
        <w:keepLines/>
        <w:spacing w:before="120" w:after="120"/>
        <w:ind w:firstLine="340"/>
        <w:rPr>
          <w:color w:val="000000"/>
          <w:u w:color="000000"/>
        </w:rPr>
      </w:pPr>
      <w:r>
        <w:rPr>
          <w:b/>
        </w:rPr>
        <w:t>§ 3. </w:t>
      </w:r>
      <w:r>
        <w:rPr>
          <w:color w:val="000000"/>
          <w:u w:color="000000"/>
        </w:rPr>
        <w:t>Uchwała wchodzi w życie z dniem podjęcia.</w:t>
      </w:r>
    </w:p>
    <w:p w:rsidR="00A77B3E" w:rsidRDefault="00A77B3E">
      <w:pPr>
        <w:keepNext/>
        <w:keepLines/>
        <w:spacing w:before="120" w:after="120"/>
        <w:ind w:firstLine="340"/>
        <w:rPr>
          <w:color w:val="000000"/>
          <w:u w:color="000000"/>
        </w:rPr>
      </w:pPr>
    </w:p>
    <w:p w:rsidR="00A77B3E" w:rsidRDefault="00AE26DD">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87195E">
        <w:tc>
          <w:tcPr>
            <w:tcW w:w="2500" w:type="pct"/>
            <w:tcMar>
              <w:top w:w="0" w:type="dxa"/>
              <w:left w:w="0" w:type="dxa"/>
              <w:bottom w:w="0" w:type="dxa"/>
              <w:right w:w="0" w:type="dxa"/>
            </w:tcMar>
            <w:hideMark/>
          </w:tcPr>
          <w:p w:rsidR="0087195E" w:rsidRDefault="0087195E">
            <w:pPr>
              <w:keepNext/>
              <w:keepLines/>
              <w:jc w:val="left"/>
              <w:rPr>
                <w:color w:val="000000"/>
                <w:szCs w:val="22"/>
              </w:rPr>
            </w:pPr>
          </w:p>
        </w:tc>
        <w:tc>
          <w:tcPr>
            <w:tcW w:w="2500" w:type="pct"/>
            <w:tcMar>
              <w:top w:w="0" w:type="dxa"/>
              <w:left w:w="0" w:type="dxa"/>
              <w:bottom w:w="0" w:type="dxa"/>
              <w:right w:w="0" w:type="dxa"/>
            </w:tcMar>
            <w:hideMark/>
          </w:tcPr>
          <w:p w:rsidR="0087195E" w:rsidRDefault="00AE26DD">
            <w:pPr>
              <w:keepNext/>
              <w:keepLines/>
              <w:spacing w:before="560" w:after="560"/>
              <w:ind w:left="1134" w:right="1134"/>
              <w:jc w:val="center"/>
              <w:rPr>
                <w:color w:val="000000"/>
                <w:szCs w:val="22"/>
              </w:rPr>
            </w:pPr>
            <w:r>
              <w:rPr>
                <w:color w:val="000000"/>
                <w:szCs w:val="22"/>
              </w:rPr>
              <w:t>Przewodniczący Rady</w:t>
            </w:r>
            <w:r>
              <w:rPr>
                <w:color w:val="000000"/>
                <w:szCs w:val="22"/>
              </w:rPr>
              <w:br/>
            </w:r>
            <w:r>
              <w:rPr>
                <w:color w:val="000000"/>
                <w:szCs w:val="22"/>
              </w:rPr>
              <w:br/>
            </w:r>
            <w:r>
              <w:rPr>
                <w:color w:val="000000"/>
                <w:szCs w:val="22"/>
              </w:rPr>
              <w:br/>
            </w:r>
            <w:r>
              <w:rPr>
                <w:b/>
              </w:rPr>
              <w:t>Tomasz Gosk</w:t>
            </w:r>
          </w:p>
        </w:tc>
      </w:tr>
    </w:tbl>
    <w:p w:rsidR="00A77B3E" w:rsidRDefault="00A77B3E">
      <w:pPr>
        <w:keepNext/>
        <w:rPr>
          <w:color w:val="000000"/>
          <w:u w:color="000000"/>
        </w:rPr>
        <w:sectPr w:rsidR="00A77B3E">
          <w:footerReference w:type="default" r:id="rId7"/>
          <w:endnotePr>
            <w:numFmt w:val="decimal"/>
          </w:endnotePr>
          <w:pgSz w:w="11906" w:h="16838"/>
          <w:pgMar w:top="992" w:right="1020" w:bottom="992" w:left="1020" w:header="708" w:footer="708" w:gutter="0"/>
          <w:cols w:space="708"/>
          <w:docGrid w:linePitch="360"/>
        </w:sectPr>
      </w:pPr>
    </w:p>
    <w:p w:rsidR="0087195E" w:rsidRDefault="0087195E">
      <w:pPr>
        <w:jc w:val="left"/>
        <w:rPr>
          <w:szCs w:val="20"/>
        </w:rPr>
      </w:pPr>
    </w:p>
    <w:p w:rsidR="0087195E" w:rsidRDefault="00AE26DD">
      <w:pPr>
        <w:spacing w:line="360" w:lineRule="auto"/>
        <w:jc w:val="center"/>
        <w:rPr>
          <w:szCs w:val="20"/>
        </w:rPr>
      </w:pPr>
      <w:r>
        <w:rPr>
          <w:b/>
          <w:caps/>
          <w:szCs w:val="20"/>
        </w:rPr>
        <w:t>uzasadnienie</w:t>
      </w:r>
    </w:p>
    <w:p w:rsidR="0087195E" w:rsidRDefault="0087195E">
      <w:pPr>
        <w:jc w:val="left"/>
        <w:rPr>
          <w:b/>
          <w:szCs w:val="20"/>
        </w:rPr>
      </w:pPr>
    </w:p>
    <w:p w:rsidR="0087195E" w:rsidRDefault="00AE26DD" w:rsidP="00F31426">
      <w:pPr>
        <w:spacing w:before="120" w:after="120"/>
        <w:rPr>
          <w:szCs w:val="20"/>
        </w:rPr>
      </w:pPr>
      <w:r>
        <w:rPr>
          <w:szCs w:val="20"/>
        </w:rPr>
        <w:t>Uchwała Rady Gminy Sokoły dotyczy rozpatrzenia skargi wniesionej na działalność Wójta Gminy Sokoły oraz Dyrektora Szkoły Podstawowej w Sokołach, w zakresie organizacji uroczystości jubileuszu 120</w:t>
      </w:r>
      <w:r>
        <w:rPr>
          <w:rFonts w:ascii="Microsoft PhagsPa" w:hAnsi="Microsoft PhagsPa"/>
          <w:szCs w:val="20"/>
        </w:rPr>
        <w:t>‑</w:t>
      </w:r>
      <w:r>
        <w:rPr>
          <w:szCs w:val="20"/>
        </w:rPr>
        <w:t>lecia istnienia placówki.</w:t>
      </w:r>
    </w:p>
    <w:p w:rsidR="0087195E" w:rsidRDefault="00AE26DD" w:rsidP="00F31426">
      <w:pPr>
        <w:spacing w:before="120" w:after="120"/>
        <w:rPr>
          <w:szCs w:val="20"/>
        </w:rPr>
      </w:pPr>
      <w:r>
        <w:rPr>
          <w:szCs w:val="20"/>
        </w:rPr>
        <w:t xml:space="preserve">W dniu 5 listopada 2025 r. wpłynęła skarga Klubu Aktywnych Radnych Gminy Sokoły na  niewłaściwe postępowanie Wójta Gminy Sokoły i Dyrektora Szkoły Podstawowej im. Adama Mickiewicza w Sokołach. Skarżący zarzucili, że przy organizacji uroczystości jubileuszowej 120 </w:t>
      </w:r>
      <w:proofErr w:type="spellStart"/>
      <w:r>
        <w:rPr>
          <w:szCs w:val="20"/>
        </w:rPr>
        <w:t>lecia</w:t>
      </w:r>
      <w:proofErr w:type="spellEnd"/>
      <w:r>
        <w:rPr>
          <w:szCs w:val="20"/>
        </w:rPr>
        <w:t xml:space="preserve"> istnienia placówki  pominięto emerytowanych nauczycieli, byłych pracowników szkoły oraz absolwentów, co – zdaniem skarżących – stanowiło przejaw braku należytego szacunku wobec osób zasłużonych dla lokalnej oświaty oraz naruszenie zasad etyki współżycia społecznego. Ponadto wskazano, iż zachowanie Dyrektora Szkoły, jak również brak reakcji Wójta Gminy jako organu nadzorującego działalność dyrektora, podważa zaufanie mieszkańców do władz samorządowych oraz godzi w wizerunek gminy.</w:t>
      </w:r>
    </w:p>
    <w:p w:rsidR="0087195E" w:rsidRDefault="00AE26DD" w:rsidP="00F31426">
      <w:pPr>
        <w:spacing w:before="120" w:after="120"/>
        <w:rPr>
          <w:szCs w:val="20"/>
        </w:rPr>
      </w:pPr>
      <w:r>
        <w:rPr>
          <w:szCs w:val="20"/>
        </w:rPr>
        <w:t>Przedmiotową skargę rozpatrzyła Komisja Skarg, Wniosków i Petycji Rady Gminy Sokoły na posiedzeniu w dniu 13 listopada 2025 r., wysłuchała wyjaśnień Wójta Gminy Sokoły i Dyrektora Szkoły Podstawowej w Sokołach i uznała zarzuty w niej zawarte za bezzasadne.</w:t>
      </w:r>
    </w:p>
    <w:p w:rsidR="0087195E" w:rsidRDefault="00AE26DD" w:rsidP="00F31426">
      <w:pPr>
        <w:spacing w:before="120" w:after="120"/>
        <w:jc w:val="left"/>
        <w:rPr>
          <w:szCs w:val="20"/>
        </w:rPr>
      </w:pPr>
      <w:r>
        <w:rPr>
          <w:szCs w:val="20"/>
        </w:rPr>
        <w:t xml:space="preserve">Rada Gminy Sokoły po przeanalizowaniu złożonej skargi i biorąc pod uwagę opinię Komisji Skarg, Wniosków i Petycji uznała ją za bezzasadną, podejmując uchwałę w tej sprawie Nr XVI/95/2025 z dnia 25 listopada 2025 r. </w:t>
      </w:r>
    </w:p>
    <w:p w:rsidR="0087195E" w:rsidRDefault="00AE26DD" w:rsidP="00F31426">
      <w:pPr>
        <w:spacing w:before="120" w:after="120"/>
        <w:jc w:val="left"/>
        <w:rPr>
          <w:szCs w:val="20"/>
        </w:rPr>
      </w:pPr>
      <w:r>
        <w:rPr>
          <w:szCs w:val="20"/>
        </w:rPr>
        <w:t xml:space="preserve">Wojewoda Podlaski pismem nr NK-II.4121.193.2025.MT poinformował o stwierdzeniu nieważności uchwały  Nr XVI/95/2025 Rady Gminy Sokoły z dnia 25 listopada 2025 r. w sprawie rozpatrzenia skargi dotyczącej działalności Wójta Gminy Sokoły i Dyrektora Szkoły Podstawowej w Sokołach. Organ nadzoru wskazał, że z dołączonego do uchwały uzasadnienia nie wynika z jakich przyczyn zarzuty przedstawione przez skarżących nie zasługują na uwzględnienie. </w:t>
      </w:r>
    </w:p>
    <w:p w:rsidR="0087195E" w:rsidRDefault="00AE26DD" w:rsidP="00F31426">
      <w:pPr>
        <w:spacing w:before="120" w:after="120"/>
        <w:jc w:val="left"/>
        <w:rPr>
          <w:szCs w:val="20"/>
        </w:rPr>
      </w:pPr>
      <w:r>
        <w:rPr>
          <w:szCs w:val="20"/>
        </w:rPr>
        <w:t>W związku z powyższym przedmiotowa skarga została ponownie skierowana do rozpatrzenia Komisji Skarg, Wniosków i Petycji.</w:t>
      </w:r>
    </w:p>
    <w:p w:rsidR="0087195E" w:rsidRPr="00E75488" w:rsidRDefault="00AE26DD" w:rsidP="00E75488">
      <w:pPr>
        <w:spacing w:before="240" w:after="240"/>
        <w:jc w:val="left"/>
        <w:rPr>
          <w:szCs w:val="20"/>
        </w:rPr>
      </w:pPr>
      <w:r>
        <w:rPr>
          <w:szCs w:val="20"/>
        </w:rPr>
        <w:t>W toku postępowania wyjaśniającego Dyrektor Szkoły Podstawowej w Sokołach złożył wyjaśnienia, z których wynika, że uroczystość jubileuszowa miała charakter kameralny i skromny. Lista zaproszonych gości była konsultowana z Radą Pedagogiczną oraz Radą Rodziców. Wśród zaproszonych znaleźli się przedstawiciele władz samorządowych, byli dyrektorzy szkoły oraz najstarsi uczniowie szkoły jako reprezentanci absolwentów. Dobór uczestników był podyktowany ograniczeniami organizacyjnymi oraz zamiarem zachowania uroczystego, lecz nienadmiernie rozbudowanego charakteru wydarzenia.</w:t>
      </w:r>
      <w:r w:rsidR="00997EBD">
        <w:rPr>
          <w:szCs w:val="20"/>
        </w:rPr>
        <w:t xml:space="preserve"> </w:t>
      </w:r>
    </w:p>
    <w:p w:rsidR="0087195E" w:rsidRDefault="00AE26DD">
      <w:pPr>
        <w:spacing w:before="240" w:after="240"/>
        <w:jc w:val="left"/>
        <w:rPr>
          <w:szCs w:val="20"/>
        </w:rPr>
      </w:pPr>
      <w:r>
        <w:rPr>
          <w:szCs w:val="20"/>
        </w:rPr>
        <w:t xml:space="preserve">Komisja Skarg, Wniosków i Petycji, po </w:t>
      </w:r>
      <w:r w:rsidR="00F9116E">
        <w:rPr>
          <w:szCs w:val="20"/>
        </w:rPr>
        <w:t xml:space="preserve">ponownym </w:t>
      </w:r>
      <w:r>
        <w:rPr>
          <w:szCs w:val="20"/>
        </w:rPr>
        <w:t xml:space="preserve">zapoznaniu się z treścią skargi, złożonymi wyjaśnieniami oraz obowiązującymi przepisami prawa, uznała, że zarzuty podniesione w skardze </w:t>
      </w:r>
      <w:r w:rsidR="00F31426">
        <w:rPr>
          <w:szCs w:val="20"/>
        </w:rPr>
        <w:t>są / nie są uzasadnione.</w:t>
      </w:r>
    </w:p>
    <w:p w:rsidR="0087195E" w:rsidRDefault="00AE26DD">
      <w:pPr>
        <w:spacing w:before="240" w:after="240"/>
        <w:jc w:val="left"/>
        <w:rPr>
          <w:szCs w:val="20"/>
        </w:rPr>
      </w:pPr>
      <w:r>
        <w:rPr>
          <w:szCs w:val="20"/>
        </w:rPr>
        <w:t>Komisja ustaliła, że:</w:t>
      </w:r>
    </w:p>
    <w:p w:rsidR="00E75488" w:rsidRDefault="00E75488" w:rsidP="00E75488">
      <w:pPr>
        <w:numPr>
          <w:ilvl w:val="0"/>
          <w:numId w:val="1"/>
        </w:numPr>
        <w:spacing w:before="240" w:after="240"/>
        <w:jc w:val="left"/>
        <w:rPr>
          <w:szCs w:val="20"/>
        </w:rPr>
      </w:pPr>
      <w:r>
        <w:rPr>
          <w:szCs w:val="20"/>
        </w:rPr>
        <w:t>organizacja uroczystości jubileuszowych należy do kompetencji dyrektora szkoły jako kierownika jednostki oświatowej;</w:t>
      </w:r>
    </w:p>
    <w:p w:rsidR="00E75488" w:rsidRDefault="00E75488" w:rsidP="00E75488">
      <w:pPr>
        <w:numPr>
          <w:ilvl w:val="0"/>
          <w:numId w:val="1"/>
        </w:numPr>
        <w:spacing w:before="240" w:after="240"/>
        <w:jc w:val="left"/>
        <w:rPr>
          <w:szCs w:val="20"/>
        </w:rPr>
      </w:pPr>
      <w:r>
        <w:rPr>
          <w:szCs w:val="20"/>
        </w:rPr>
        <w:t>przepisy prawa oświatowego nie nakładają na dyrektora szkoły obowiązku zapraszania na uroczystości szkolne wszystkich były</w:t>
      </w:r>
      <w:r>
        <w:rPr>
          <w:szCs w:val="20"/>
        </w:rPr>
        <w:t>ch pracowników oraz absolwentów;</w:t>
      </w:r>
    </w:p>
    <w:p w:rsidR="00E75488" w:rsidRDefault="00E75488" w:rsidP="00E75488">
      <w:pPr>
        <w:numPr>
          <w:ilvl w:val="0"/>
          <w:numId w:val="1"/>
        </w:numPr>
        <w:spacing w:before="240" w:after="240"/>
        <w:jc w:val="left"/>
        <w:rPr>
          <w:szCs w:val="20"/>
        </w:rPr>
      </w:pPr>
      <w:r>
        <w:rPr>
          <w:szCs w:val="20"/>
        </w:rPr>
        <w:t>………………………………………</w:t>
      </w:r>
    </w:p>
    <w:p w:rsidR="00E75488" w:rsidRDefault="00E75488" w:rsidP="00E75488">
      <w:pPr>
        <w:spacing w:before="240" w:after="240"/>
        <w:jc w:val="left"/>
        <w:rPr>
          <w:szCs w:val="20"/>
        </w:rPr>
      </w:pPr>
      <w:r>
        <w:rPr>
          <w:szCs w:val="20"/>
        </w:rPr>
        <w:t xml:space="preserve">Komisja nie stwierdziła, aby Wójt Gminy Sokoły, sprawujący nadzór nad działalnością dyrektora szkoły w </w:t>
      </w:r>
      <w:r w:rsidRPr="00E75488">
        <w:rPr>
          <w:b/>
          <w:szCs w:val="20"/>
        </w:rPr>
        <w:t>zakresie określonym przepisami prawa</w:t>
      </w:r>
      <w:r>
        <w:rPr>
          <w:szCs w:val="20"/>
        </w:rPr>
        <w:t>, dopuścił się zaniechania lub naruszenia swoich obowiązków.</w:t>
      </w:r>
    </w:p>
    <w:p w:rsidR="00F74413" w:rsidRDefault="00F74413" w:rsidP="00E75488">
      <w:pPr>
        <w:spacing w:before="240" w:after="240"/>
        <w:ind w:left="502"/>
        <w:jc w:val="left"/>
        <w:rPr>
          <w:szCs w:val="20"/>
        </w:rPr>
      </w:pPr>
    </w:p>
    <w:p w:rsidR="00F74413" w:rsidRDefault="00F74413">
      <w:pPr>
        <w:spacing w:before="240" w:after="240"/>
        <w:jc w:val="left"/>
        <w:rPr>
          <w:szCs w:val="20"/>
        </w:rPr>
      </w:pPr>
    </w:p>
    <w:p w:rsidR="0087195E" w:rsidRDefault="00AE26DD">
      <w:pPr>
        <w:spacing w:before="240" w:after="240"/>
        <w:jc w:val="left"/>
        <w:rPr>
          <w:szCs w:val="20"/>
        </w:rPr>
      </w:pPr>
      <w:r>
        <w:rPr>
          <w:szCs w:val="20"/>
        </w:rPr>
        <w:lastRenderedPageBreak/>
        <w:t>Rozpatrzenie skargi nastąpiło w oparciu o obowiązujące przepisy prawa, w szczególności:</w:t>
      </w:r>
    </w:p>
    <w:p w:rsidR="0087195E" w:rsidRDefault="00AE26DD">
      <w:pPr>
        <w:numPr>
          <w:ilvl w:val="0"/>
          <w:numId w:val="2"/>
        </w:numPr>
        <w:spacing w:before="240" w:after="240"/>
        <w:jc w:val="left"/>
        <w:rPr>
          <w:szCs w:val="20"/>
        </w:rPr>
      </w:pPr>
      <w:r>
        <w:rPr>
          <w:szCs w:val="20"/>
        </w:rPr>
        <w:t xml:space="preserve">art. 227–238 ustawy z dnia 14 czerwca 1960 r. – Kodeks postępowania administracyjnego (Dz. U. z </w:t>
      </w:r>
      <w:r>
        <w:rPr>
          <w:sz w:val="24"/>
          <w:szCs w:val="20"/>
        </w:rPr>
        <w:t>2025 r. poz. 1691</w:t>
      </w:r>
      <w:r>
        <w:rPr>
          <w:szCs w:val="20"/>
        </w:rPr>
        <w:t>), regulujące tryb wnoszenia i rozpatrywania skarg dotyczących działalności organów gminy oraz kierowników gminnych jednostek organizacyjnych;</w:t>
      </w:r>
    </w:p>
    <w:p w:rsidR="0087195E" w:rsidRDefault="00AE26DD">
      <w:pPr>
        <w:numPr>
          <w:ilvl w:val="0"/>
          <w:numId w:val="2"/>
        </w:numPr>
        <w:spacing w:before="240" w:after="240"/>
        <w:jc w:val="left"/>
        <w:rPr>
          <w:szCs w:val="20"/>
        </w:rPr>
      </w:pPr>
      <w:r>
        <w:rPr>
          <w:szCs w:val="20"/>
        </w:rPr>
        <w:t>art. 18b ust. 1 ustawy z dnia 8 marca 1990 r. o samorządzie gminnym (Dz. U. z 2025 r. poz. 1153 i 1436.), zgodnie z którym rada gminy rozpatruje skargi na działania wójta oraz kierowników gminnych jednostek organizacyjnych;</w:t>
      </w:r>
    </w:p>
    <w:p w:rsidR="0087195E" w:rsidRDefault="00AE26DD">
      <w:pPr>
        <w:numPr>
          <w:ilvl w:val="0"/>
          <w:numId w:val="2"/>
        </w:numPr>
        <w:spacing w:before="240" w:after="240"/>
        <w:jc w:val="left"/>
        <w:rPr>
          <w:szCs w:val="20"/>
        </w:rPr>
      </w:pPr>
      <w:r>
        <w:rPr>
          <w:szCs w:val="20"/>
        </w:rPr>
        <w:t>art. 7 ust. 1 pkt 8 ustawy o samorządzie gminnym, określającego zadania własne gminy w zakresie edukacji publicznej;</w:t>
      </w:r>
    </w:p>
    <w:p w:rsidR="0087195E" w:rsidRDefault="00AE26DD">
      <w:pPr>
        <w:numPr>
          <w:ilvl w:val="0"/>
          <w:numId w:val="2"/>
        </w:numPr>
        <w:spacing w:before="240" w:after="240"/>
        <w:jc w:val="left"/>
        <w:rPr>
          <w:szCs w:val="20"/>
        </w:rPr>
      </w:pPr>
      <w:r>
        <w:rPr>
          <w:szCs w:val="20"/>
        </w:rPr>
        <w:t>art. 10 ust. 1 pkt 6 oraz art. 68 ust. 1 ustawy z dnia 14 grudnia 2016 r. – Prawo oświatowe (Dz. U. z 2025 r. poz. 1043 z późn. zm.), które wskazują, że szkołą kieruje dyrektor, ponoszący odpowiedzialność za jej działalność dydaktyczną, wychowawczą, opiekuńczą oraz organizacyjną;</w:t>
      </w:r>
    </w:p>
    <w:p w:rsidR="0087195E" w:rsidRDefault="00AE26DD">
      <w:pPr>
        <w:numPr>
          <w:ilvl w:val="0"/>
          <w:numId w:val="2"/>
        </w:numPr>
        <w:spacing w:before="240" w:after="240"/>
        <w:jc w:val="left"/>
        <w:rPr>
          <w:szCs w:val="20"/>
        </w:rPr>
      </w:pPr>
      <w:r>
        <w:rPr>
          <w:szCs w:val="20"/>
        </w:rPr>
        <w:t xml:space="preserve">art. 57 ust. 1 ustawy – Prawo oświatowe, określającego zakres nadzoru organu prowadzącego szkołę, w tym wójta gminy, który nie obejmuje bieżących decyzji organizacyjnych dyrektora, o ile nie naruszają one prawa; </w:t>
      </w:r>
    </w:p>
    <w:p w:rsidR="0087195E" w:rsidRDefault="00AE26DD">
      <w:pPr>
        <w:numPr>
          <w:ilvl w:val="0"/>
          <w:numId w:val="2"/>
        </w:numPr>
        <w:spacing w:before="240" w:after="240"/>
        <w:jc w:val="left"/>
        <w:rPr>
          <w:szCs w:val="20"/>
        </w:rPr>
      </w:pPr>
      <w:r>
        <w:rPr>
          <w:szCs w:val="20"/>
        </w:rPr>
        <w:t xml:space="preserve">art. 58 ustawy – Prawo oświatowe, zawierający ograniczenia w sprawowaniu nadzoru, stanowiący iż organ prowadzący szkołę lub placówkę, a w zakresie działalności dydaktyczno-wychowawczej i opiekuńczej również organ sprawujący nadzór pedagogiczny, mogą ingerować w działalność szkoły lub placówki </w:t>
      </w:r>
      <w:r w:rsidRPr="00056298">
        <w:rPr>
          <w:b/>
          <w:szCs w:val="20"/>
          <w:u w:val="single"/>
        </w:rPr>
        <w:t>wyłącznie w zakresie i na zasadach określonych w ustawie</w:t>
      </w:r>
      <w:r>
        <w:rPr>
          <w:szCs w:val="20"/>
        </w:rPr>
        <w:t>.</w:t>
      </w:r>
    </w:p>
    <w:p w:rsidR="0087195E" w:rsidRDefault="00AE26DD">
      <w:pPr>
        <w:numPr>
          <w:ilvl w:val="0"/>
          <w:numId w:val="2"/>
        </w:numPr>
        <w:spacing w:before="240" w:after="240"/>
        <w:jc w:val="left"/>
        <w:rPr>
          <w:szCs w:val="20"/>
        </w:rPr>
      </w:pPr>
      <w:r>
        <w:rPr>
          <w:szCs w:val="20"/>
        </w:rPr>
        <w:t xml:space="preserve">  art. 68 ust. 6 ustawy – Prawo oświatowe stanowiący, iż dyrektor szkoły lub placówki w wykonywaniu swoich zadań współpracuje z radą szkoły lub placówki, radą pedagogiczną, rodzicami i samorządem uczniowskim.</w:t>
      </w:r>
    </w:p>
    <w:p w:rsidR="0087195E" w:rsidRDefault="00AE26DD">
      <w:pPr>
        <w:spacing w:before="240" w:after="240"/>
        <w:jc w:val="left"/>
        <w:rPr>
          <w:szCs w:val="20"/>
        </w:rPr>
      </w:pPr>
      <w:r>
        <w:rPr>
          <w:szCs w:val="20"/>
        </w:rPr>
        <w:t>Zgodnie z art. 227 Kodeksu postępowania administracyjnego przedmiotem skargi może być w szczególności zaniedbanie lub nienależyte wykonywanie zadań przez organy lub ich pracowników, naruszenie praworządności lub interesów skarżących.</w:t>
      </w:r>
    </w:p>
    <w:p w:rsidR="0087195E" w:rsidRDefault="00AE26DD">
      <w:pPr>
        <w:spacing w:before="240" w:after="240"/>
        <w:jc w:val="left"/>
        <w:rPr>
          <w:szCs w:val="20"/>
        </w:rPr>
      </w:pPr>
      <w:r>
        <w:rPr>
          <w:szCs w:val="20"/>
        </w:rPr>
        <w:t>W analizowanym przypadku brak jest podstaw do przyjęcia, że Dyrektor Szkoły Podstawowej w Sokołach dopuścił się naruszenia przepisów prawa powszechnie obowiązującego, w tym przepisów ustawy – Prawo oświatowe, bądź aktów wewnętrznych regulujących funkcjonowanie szkoły. Organizacja uroczystości jubileuszowej oraz ustalenie listy gości mieściły się w granicach przysługującego dyrektorowi uznania organizacyjnego.</w:t>
      </w:r>
    </w:p>
    <w:p w:rsidR="0087195E" w:rsidRDefault="00AE26DD">
      <w:pPr>
        <w:spacing w:before="240" w:after="240"/>
        <w:jc w:val="left"/>
        <w:rPr>
          <w:szCs w:val="20"/>
        </w:rPr>
      </w:pPr>
      <w:r>
        <w:rPr>
          <w:szCs w:val="20"/>
        </w:rPr>
        <w:t>Przepisy prawa oświatowego nie nakładają na dyrektora szkoły obowiązku zapraszania wszystkich byłych pracowników lub absolwentów na uroczystości szkolne, w tym jubileusze. Decyzje w tym zakresie mają charakter organizacyjny i powinny uwzględniać możliwości lokalowe, finansowe oraz przyjętą koncepcję wydarzenia, która uzgodniona była z Radą Pedagogiczną i Radą Rodziców.</w:t>
      </w:r>
    </w:p>
    <w:p w:rsidR="0087195E" w:rsidRDefault="00AE26DD">
      <w:pPr>
        <w:spacing w:before="240" w:after="240"/>
        <w:jc w:val="left"/>
        <w:rPr>
          <w:szCs w:val="20"/>
        </w:rPr>
      </w:pPr>
      <w:r>
        <w:rPr>
          <w:szCs w:val="20"/>
        </w:rPr>
        <w:t>Nie wykazano również, aby działania lub zaniechania Wójta Gminy Sokoły naruszały przepisy regulujące sprawowanie nadzoru nad działalnością dyrektorów gminnych jednostek oświatowych. Brak jest podstaw prawnych do uznania, że wójt miał obowiązek ingerowania w sposób organizacji uroczystości szkolnej, która nie naruszała prawa ani procedur.</w:t>
      </w:r>
    </w:p>
    <w:p w:rsidR="0087195E" w:rsidRDefault="00AE26DD">
      <w:pPr>
        <w:spacing w:before="240" w:after="240"/>
        <w:jc w:val="left"/>
        <w:rPr>
          <w:szCs w:val="20"/>
        </w:rPr>
      </w:pPr>
      <w:r>
        <w:rPr>
          <w:szCs w:val="20"/>
        </w:rPr>
        <w:t xml:space="preserve">Podnoszone w skardze argumenty dotyczące zasad etyki współżycia społecznego oraz subiektywnego poczucia pominięcia określonych osób, choć zrozumiałe z perspektywy społecznej, nie mogą stanowić samodzielnej podstawy do uznania skargi za zasadną w </w:t>
      </w:r>
      <w:r w:rsidR="00F74413">
        <w:rPr>
          <w:szCs w:val="20"/>
        </w:rPr>
        <w:t xml:space="preserve">prowadzonym </w:t>
      </w:r>
      <w:r>
        <w:rPr>
          <w:szCs w:val="20"/>
        </w:rPr>
        <w:t>postępowaniu skargowym.</w:t>
      </w:r>
    </w:p>
    <w:p w:rsidR="0087195E" w:rsidRDefault="00AE26DD">
      <w:pPr>
        <w:spacing w:before="240" w:after="240"/>
        <w:jc w:val="left"/>
        <w:rPr>
          <w:szCs w:val="20"/>
        </w:rPr>
      </w:pPr>
      <w:r>
        <w:rPr>
          <w:szCs w:val="20"/>
        </w:rPr>
        <w:t>Mając na uwadze ustalony stan faktyczny oraz ocenę prawną, Rada Gminy Sokoły podziela</w:t>
      </w:r>
      <w:r w:rsidR="00F74413">
        <w:rPr>
          <w:szCs w:val="20"/>
        </w:rPr>
        <w:t xml:space="preserve"> / nie podziela</w:t>
      </w:r>
      <w:r>
        <w:rPr>
          <w:szCs w:val="20"/>
        </w:rPr>
        <w:t xml:space="preserve"> stanowisk</w:t>
      </w:r>
      <w:r w:rsidR="00F74413">
        <w:rPr>
          <w:szCs w:val="20"/>
        </w:rPr>
        <w:t>a</w:t>
      </w:r>
      <w:r>
        <w:rPr>
          <w:szCs w:val="20"/>
        </w:rPr>
        <w:t xml:space="preserve"> Komisji Skarg, Wniosków i Petycji i uznaje skargę na działalność Wójta Gminy Sokoły oraz Dyrektora Szkoły Podstawowej w Sokołach za bezzasadną</w:t>
      </w:r>
      <w:r w:rsidR="00F74413">
        <w:rPr>
          <w:szCs w:val="20"/>
        </w:rPr>
        <w:t xml:space="preserve"> / zasadną</w:t>
      </w:r>
      <w:r>
        <w:rPr>
          <w:szCs w:val="20"/>
        </w:rPr>
        <w:t>.</w:t>
      </w:r>
    </w:p>
    <w:p w:rsidR="0087195E" w:rsidRDefault="00AE26DD">
      <w:pPr>
        <w:spacing w:line="276" w:lineRule="auto"/>
        <w:rPr>
          <w:szCs w:val="20"/>
        </w:rPr>
      </w:pPr>
      <w:r>
        <w:rPr>
          <w:szCs w:val="20"/>
        </w:rPr>
        <w:lastRenderedPageBreak/>
        <w:t xml:space="preserve">W związku z powyższym podjęcie uchwały o uznaniu skargi za bezzasadną </w:t>
      </w:r>
      <w:r w:rsidR="00F74413">
        <w:rPr>
          <w:szCs w:val="20"/>
        </w:rPr>
        <w:t xml:space="preserve">/ zasadną </w:t>
      </w:r>
      <w:r>
        <w:rPr>
          <w:szCs w:val="20"/>
        </w:rPr>
        <w:t>jest w pełni uzasadnione.</w:t>
      </w:r>
    </w:p>
    <w:p w:rsidR="00056298" w:rsidRDefault="00056298">
      <w:pPr>
        <w:spacing w:line="276" w:lineRule="auto"/>
        <w:rPr>
          <w:b/>
          <w:szCs w:val="20"/>
        </w:rPr>
      </w:pPr>
    </w:p>
    <w:p w:rsidR="0087195E" w:rsidRPr="00056298" w:rsidRDefault="00E75488">
      <w:pPr>
        <w:spacing w:line="276" w:lineRule="auto"/>
        <w:rPr>
          <w:b/>
          <w:szCs w:val="20"/>
        </w:rPr>
      </w:pPr>
      <w:bookmarkStart w:id="0" w:name="_GoBack"/>
      <w:bookmarkEnd w:id="0"/>
      <w:r w:rsidRPr="00056298">
        <w:rPr>
          <w:b/>
          <w:szCs w:val="20"/>
        </w:rPr>
        <w:t>Jeśli skarga zasadna</w:t>
      </w:r>
      <w:r w:rsidR="00056298" w:rsidRPr="00056298">
        <w:rPr>
          <w:b/>
          <w:szCs w:val="20"/>
        </w:rPr>
        <w:t xml:space="preserve"> – </w:t>
      </w:r>
      <w:r w:rsidR="00056298">
        <w:rPr>
          <w:b/>
          <w:szCs w:val="20"/>
        </w:rPr>
        <w:t>wykazać zasadność zarzutów podniesionych w skardze.</w:t>
      </w:r>
    </w:p>
    <w:p w:rsidR="00056298" w:rsidRDefault="00056298">
      <w:pPr>
        <w:spacing w:line="276" w:lineRule="auto"/>
        <w:rPr>
          <w:rFonts w:ascii="Calibri" w:hAnsi="Calibri"/>
          <w:szCs w:val="20"/>
        </w:rPr>
      </w:pPr>
    </w:p>
    <w:p w:rsidR="0087195E" w:rsidRDefault="00AE26DD">
      <w:pPr>
        <w:spacing w:line="276" w:lineRule="auto"/>
        <w:rPr>
          <w:rFonts w:ascii="Calibri" w:hAnsi="Calibri"/>
          <w:szCs w:val="20"/>
        </w:rPr>
      </w:pPr>
      <w:r>
        <w:rPr>
          <w:rFonts w:ascii="Calibri" w:hAnsi="Calibri"/>
          <w:szCs w:val="20"/>
        </w:rPr>
        <w:t xml:space="preserve">Pouczenie: </w:t>
      </w:r>
    </w:p>
    <w:p w:rsidR="0087195E" w:rsidRDefault="00AE26DD">
      <w:pPr>
        <w:spacing w:line="276" w:lineRule="auto"/>
        <w:rPr>
          <w:sz w:val="24"/>
          <w:szCs w:val="20"/>
        </w:rPr>
      </w:pPr>
      <w:r>
        <w:rPr>
          <w:sz w:val="24"/>
          <w:szCs w:val="20"/>
        </w:rPr>
        <w:t>Zgodnie z przepisem art. 239 §1 Kodeksu postępowania administracyjnego „W przypadku, gdy skarga, w wyniku jej rozpatrzenia, uznana została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rsidR="0087195E" w:rsidRDefault="0087195E">
      <w:pPr>
        <w:spacing w:before="120" w:after="120"/>
        <w:ind w:left="283" w:firstLine="227"/>
        <w:jc w:val="left"/>
        <w:rPr>
          <w:szCs w:val="20"/>
        </w:rPr>
      </w:pPr>
    </w:p>
    <w:sectPr w:rsidR="0087195E">
      <w:footerReference w:type="default" r:id="rId8"/>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2BF" w:rsidRDefault="002062BF">
      <w:r>
        <w:separator/>
      </w:r>
    </w:p>
  </w:endnote>
  <w:endnote w:type="continuationSeparator" w:id="0">
    <w:p w:rsidR="002062BF" w:rsidRDefault="0020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7195E">
      <w:tc>
        <w:tcPr>
          <w:tcW w:w="6577" w:type="dxa"/>
          <w:tcBorders>
            <w:top w:val="single" w:sz="4" w:space="0" w:color="auto"/>
            <w:left w:val="nil"/>
            <w:bottom w:val="nil"/>
            <w:right w:val="nil"/>
          </w:tcBorders>
          <w:tcMar>
            <w:top w:w="100" w:type="dxa"/>
            <w:left w:w="0" w:type="dxa"/>
            <w:bottom w:w="0" w:type="dxa"/>
            <w:right w:w="0" w:type="dxa"/>
          </w:tcMar>
          <w:hideMark/>
        </w:tcPr>
        <w:p w:rsidR="0087195E" w:rsidRDefault="00AE26DD">
          <w:pPr>
            <w:jc w:val="left"/>
            <w:rPr>
              <w:sz w:val="18"/>
            </w:rPr>
          </w:pPr>
          <w:r>
            <w:rPr>
              <w:sz w:val="18"/>
            </w:rPr>
            <w:t>Id: 4924C820-3C8F-49F2-AF0C-9406D29803BE.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87195E" w:rsidRDefault="00AE26DD">
          <w:pPr>
            <w:jc w:val="right"/>
            <w:rPr>
              <w:sz w:val="18"/>
            </w:rPr>
          </w:pPr>
          <w:r>
            <w:rPr>
              <w:sz w:val="18"/>
            </w:rPr>
            <w:t xml:space="preserve">Strona </w:t>
          </w:r>
          <w:r>
            <w:rPr>
              <w:sz w:val="18"/>
            </w:rPr>
            <w:fldChar w:fldCharType="begin"/>
          </w:r>
          <w:r>
            <w:rPr>
              <w:sz w:val="18"/>
            </w:rPr>
            <w:instrText>PAGE</w:instrText>
          </w:r>
          <w:r>
            <w:rPr>
              <w:sz w:val="18"/>
            </w:rPr>
            <w:fldChar w:fldCharType="separate"/>
          </w:r>
          <w:r w:rsidR="00E75488">
            <w:rPr>
              <w:noProof/>
              <w:sz w:val="18"/>
            </w:rPr>
            <w:t>1</w:t>
          </w:r>
          <w:r>
            <w:rPr>
              <w:sz w:val="18"/>
            </w:rPr>
            <w:fldChar w:fldCharType="end"/>
          </w:r>
        </w:p>
      </w:tc>
    </w:tr>
  </w:tbl>
  <w:p w:rsidR="0087195E" w:rsidRDefault="0087195E">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7195E">
      <w:tc>
        <w:tcPr>
          <w:tcW w:w="6577" w:type="dxa"/>
          <w:tcBorders>
            <w:top w:val="single" w:sz="4" w:space="0" w:color="auto"/>
            <w:left w:val="nil"/>
            <w:bottom w:val="nil"/>
            <w:right w:val="nil"/>
          </w:tcBorders>
          <w:tcMar>
            <w:top w:w="100" w:type="dxa"/>
            <w:left w:w="0" w:type="dxa"/>
            <w:bottom w:w="0" w:type="dxa"/>
            <w:right w:w="0" w:type="dxa"/>
          </w:tcMar>
          <w:hideMark/>
        </w:tcPr>
        <w:p w:rsidR="0087195E" w:rsidRDefault="00AE26DD">
          <w:pPr>
            <w:jc w:val="left"/>
            <w:rPr>
              <w:sz w:val="18"/>
            </w:rPr>
          </w:pPr>
          <w:r>
            <w:rPr>
              <w:sz w:val="18"/>
            </w:rPr>
            <w:t>Id: 4924C820-3C8F-49F2-AF0C-9406D29803BE.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87195E" w:rsidRDefault="00AE26DD">
          <w:pPr>
            <w:jc w:val="right"/>
            <w:rPr>
              <w:sz w:val="18"/>
            </w:rPr>
          </w:pPr>
          <w:r>
            <w:rPr>
              <w:sz w:val="18"/>
            </w:rPr>
            <w:t xml:space="preserve">Strona </w:t>
          </w:r>
          <w:r>
            <w:rPr>
              <w:sz w:val="18"/>
            </w:rPr>
            <w:fldChar w:fldCharType="begin"/>
          </w:r>
          <w:r>
            <w:rPr>
              <w:sz w:val="18"/>
            </w:rPr>
            <w:instrText>PAGE</w:instrText>
          </w:r>
          <w:r>
            <w:rPr>
              <w:sz w:val="18"/>
            </w:rPr>
            <w:fldChar w:fldCharType="separate"/>
          </w:r>
          <w:r w:rsidR="00056298">
            <w:rPr>
              <w:noProof/>
              <w:sz w:val="18"/>
            </w:rPr>
            <w:t>4</w:t>
          </w:r>
          <w:r>
            <w:rPr>
              <w:sz w:val="18"/>
            </w:rPr>
            <w:fldChar w:fldCharType="end"/>
          </w:r>
        </w:p>
      </w:tc>
    </w:tr>
  </w:tbl>
  <w:p w:rsidR="0087195E" w:rsidRDefault="0087195E">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2BF" w:rsidRDefault="002062BF">
      <w:r>
        <w:separator/>
      </w:r>
    </w:p>
  </w:footnote>
  <w:footnote w:type="continuationSeparator" w:id="0">
    <w:p w:rsidR="002062BF" w:rsidRDefault="00206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390C4"/>
    <w:multiLevelType w:val="hybridMultilevel"/>
    <w:tmpl w:val="00000000"/>
    <w:lvl w:ilvl="0" w:tplc="4688535A">
      <w:start w:val="1"/>
      <w:numFmt w:val="decimal"/>
      <w:lvlText w:val="%1."/>
      <w:lvlJc w:val="left"/>
      <w:pPr>
        <w:ind w:left="720" w:hanging="360"/>
      </w:pPr>
    </w:lvl>
    <w:lvl w:ilvl="1" w:tplc="1C987952">
      <w:start w:val="1"/>
      <w:numFmt w:val="decimal"/>
      <w:lvlText w:val="%2."/>
      <w:lvlJc w:val="left"/>
      <w:pPr>
        <w:ind w:left="1440" w:hanging="360"/>
      </w:pPr>
    </w:lvl>
    <w:lvl w:ilvl="2" w:tplc="BC188002">
      <w:start w:val="1"/>
      <w:numFmt w:val="decimal"/>
      <w:lvlText w:val="%3."/>
      <w:lvlJc w:val="left"/>
      <w:pPr>
        <w:ind w:left="2160" w:hanging="360"/>
      </w:pPr>
    </w:lvl>
    <w:lvl w:ilvl="3" w:tplc="3B9E7864">
      <w:start w:val="1"/>
      <w:numFmt w:val="decimal"/>
      <w:lvlText w:val="%4."/>
      <w:lvlJc w:val="left"/>
      <w:pPr>
        <w:ind w:left="2880" w:hanging="360"/>
      </w:pPr>
    </w:lvl>
    <w:lvl w:ilvl="4" w:tplc="33F25A26">
      <w:start w:val="1"/>
      <w:numFmt w:val="decimal"/>
      <w:lvlText w:val="%5."/>
      <w:lvlJc w:val="left"/>
      <w:pPr>
        <w:ind w:left="3600" w:hanging="360"/>
      </w:pPr>
    </w:lvl>
    <w:lvl w:ilvl="5" w:tplc="E2022B8A">
      <w:start w:val="1"/>
      <w:numFmt w:val="decimal"/>
      <w:lvlText w:val="%6."/>
      <w:lvlJc w:val="left"/>
      <w:pPr>
        <w:ind w:left="4320" w:hanging="360"/>
      </w:pPr>
    </w:lvl>
    <w:lvl w:ilvl="6" w:tplc="AEB4CF42">
      <w:start w:val="1"/>
      <w:numFmt w:val="decimal"/>
      <w:lvlText w:val="%7."/>
      <w:lvlJc w:val="left"/>
      <w:pPr>
        <w:ind w:left="5040" w:hanging="360"/>
      </w:pPr>
    </w:lvl>
    <w:lvl w:ilvl="7" w:tplc="D6D2E840">
      <w:start w:val="1"/>
      <w:numFmt w:val="decimal"/>
      <w:lvlText w:val="%8."/>
      <w:lvlJc w:val="left"/>
      <w:pPr>
        <w:ind w:left="5760" w:hanging="360"/>
      </w:pPr>
    </w:lvl>
    <w:lvl w:ilvl="8" w:tplc="8C7E5D94">
      <w:start w:val="1"/>
      <w:numFmt w:val="decimal"/>
      <w:lvlText w:val="%9."/>
      <w:lvlJc w:val="left"/>
      <w:pPr>
        <w:ind w:left="6480" w:hanging="360"/>
      </w:pPr>
    </w:lvl>
  </w:abstractNum>
  <w:abstractNum w:abstractNumId="1" w15:restartNumberingAfterBreak="0">
    <w:nsid w:val="4922A3FB"/>
    <w:multiLevelType w:val="hybridMultilevel"/>
    <w:tmpl w:val="00000000"/>
    <w:lvl w:ilvl="0" w:tplc="96E42938">
      <w:start w:val="1"/>
      <w:numFmt w:val="bullet"/>
      <w:lvlText w:val="·"/>
      <w:lvlJc w:val="left"/>
      <w:pPr>
        <w:ind w:left="502" w:hanging="360"/>
      </w:pPr>
      <w:rPr>
        <w:rFonts w:ascii="Symbol" w:hAnsi="Symbol"/>
      </w:rPr>
    </w:lvl>
    <w:lvl w:ilvl="1" w:tplc="A6D481B0">
      <w:start w:val="1"/>
      <w:numFmt w:val="bullet"/>
      <w:lvlText w:val="o"/>
      <w:lvlJc w:val="left"/>
      <w:pPr>
        <w:ind w:left="1222" w:hanging="360"/>
      </w:pPr>
      <w:rPr>
        <w:rFonts w:ascii="Symbol" w:hAnsi="Symbol"/>
      </w:rPr>
    </w:lvl>
    <w:lvl w:ilvl="2" w:tplc="AA7E0E4C">
      <w:start w:val="1"/>
      <w:numFmt w:val="bullet"/>
      <w:lvlText w:val="·"/>
      <w:lvlJc w:val="left"/>
      <w:pPr>
        <w:ind w:left="1942" w:hanging="360"/>
      </w:pPr>
      <w:rPr>
        <w:rFonts w:ascii="Symbol" w:hAnsi="Symbol"/>
      </w:rPr>
    </w:lvl>
    <w:lvl w:ilvl="3" w:tplc="BE94AB0E">
      <w:start w:val="1"/>
      <w:numFmt w:val="bullet"/>
      <w:lvlText w:val="o"/>
      <w:lvlJc w:val="left"/>
      <w:pPr>
        <w:ind w:left="2662" w:hanging="360"/>
      </w:pPr>
      <w:rPr>
        <w:rFonts w:ascii="Symbol" w:hAnsi="Symbol"/>
      </w:rPr>
    </w:lvl>
    <w:lvl w:ilvl="4" w:tplc="CA6AF40E">
      <w:start w:val="1"/>
      <w:numFmt w:val="bullet"/>
      <w:lvlText w:val="·"/>
      <w:lvlJc w:val="left"/>
      <w:pPr>
        <w:ind w:left="3382" w:hanging="360"/>
      </w:pPr>
      <w:rPr>
        <w:rFonts w:ascii="Symbol" w:hAnsi="Symbol"/>
      </w:rPr>
    </w:lvl>
    <w:lvl w:ilvl="5" w:tplc="837E1042">
      <w:start w:val="1"/>
      <w:numFmt w:val="bullet"/>
      <w:lvlText w:val="o"/>
      <w:lvlJc w:val="left"/>
      <w:pPr>
        <w:ind w:left="4102" w:hanging="360"/>
      </w:pPr>
      <w:rPr>
        <w:rFonts w:ascii="Symbol" w:hAnsi="Symbol"/>
      </w:rPr>
    </w:lvl>
    <w:lvl w:ilvl="6" w:tplc="1EE0F204">
      <w:start w:val="1"/>
      <w:numFmt w:val="bullet"/>
      <w:lvlText w:val="·"/>
      <w:lvlJc w:val="left"/>
      <w:pPr>
        <w:ind w:left="4822" w:hanging="360"/>
      </w:pPr>
      <w:rPr>
        <w:rFonts w:ascii="Symbol" w:hAnsi="Symbol"/>
      </w:rPr>
    </w:lvl>
    <w:lvl w:ilvl="7" w:tplc="2676ECF6">
      <w:start w:val="1"/>
      <w:numFmt w:val="bullet"/>
      <w:lvlText w:val="o"/>
      <w:lvlJc w:val="left"/>
      <w:pPr>
        <w:ind w:left="5542" w:hanging="360"/>
      </w:pPr>
      <w:rPr>
        <w:rFonts w:ascii="Symbol" w:hAnsi="Symbol"/>
      </w:rPr>
    </w:lvl>
    <w:lvl w:ilvl="8" w:tplc="33DAA502">
      <w:start w:val="1"/>
      <w:numFmt w:val="bullet"/>
      <w:lvlText w:val="·"/>
      <w:lvlJc w:val="left"/>
      <w:pPr>
        <w:ind w:left="6262" w:hanging="360"/>
      </w:pPr>
      <w:rPr>
        <w:rFonts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56298"/>
    <w:rsid w:val="002062BF"/>
    <w:rsid w:val="00233052"/>
    <w:rsid w:val="004601F5"/>
    <w:rsid w:val="005A642A"/>
    <w:rsid w:val="0087195E"/>
    <w:rsid w:val="00997EBD"/>
    <w:rsid w:val="00A77B3E"/>
    <w:rsid w:val="00AE26DD"/>
    <w:rsid w:val="00CA2A55"/>
    <w:rsid w:val="00D71FA9"/>
    <w:rsid w:val="00DE0F52"/>
    <w:rsid w:val="00E75488"/>
    <w:rsid w:val="00F31426"/>
    <w:rsid w:val="00F74413"/>
    <w:rsid w:val="00F911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59D386-380F-4321-8011-6C1BDF2F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1226</Words>
  <Characters>7356</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Gminy Sokoły</Company>
  <LinksUpToDate>false</LinksUpToDate>
  <CharactersWithSpaces>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rozpatrzenia skargi dotyczącej działalności Wójta Gminy Sokoły i Dyrektora Szkoły Podstawowej w Sokołach</dc:subject>
  <dc:creator>widzkowska</dc:creator>
  <cp:lastModifiedBy>widzkowska</cp:lastModifiedBy>
  <cp:revision>3</cp:revision>
  <dcterms:created xsi:type="dcterms:W3CDTF">2026-01-20T10:19:00Z</dcterms:created>
  <dcterms:modified xsi:type="dcterms:W3CDTF">2026-01-20T11:17:00Z</dcterms:modified>
  <cp:category>Akt prawny</cp:category>
</cp:coreProperties>
</file>